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spacing w:beforeLines="50" w:afterLines="100" w:line="360" w:lineRule="auto"/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ascii="微软雅黑" w:hAnsi="微软雅黑" w:eastAsia="微软雅黑"/>
          <w:b/>
          <w:bCs/>
          <w:sz w:val="30"/>
          <w:szCs w:val="30"/>
        </w:rPr>
        <w:t>浙江育英职业技术学院科研骨干培养计划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为贯彻国家、省、市中长期教育改革和发展规划纲要，培养一批中青年科研骨干，提升学校科研水平和服务地方的能力，启动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学院科研骨干培养计划。</w:t>
      </w:r>
    </w:p>
    <w:p>
      <w:pPr>
        <w:spacing w:line="360" w:lineRule="auto"/>
        <w:ind w:firstLine="562" w:firstLineChars="2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一、培养目标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以</w:t>
      </w:r>
      <w:r>
        <w:rPr>
          <w:rFonts w:hint="eastAsia" w:ascii="仿宋" w:hAnsi="仿宋" w:eastAsia="仿宋" w:cs="Times New Roman"/>
          <w:sz w:val="28"/>
          <w:szCs w:val="28"/>
        </w:rPr>
        <w:t>改革</w:t>
      </w:r>
      <w:r>
        <w:rPr>
          <w:rFonts w:ascii="仿宋" w:hAnsi="仿宋" w:eastAsia="仿宋" w:cs="Times New Roman"/>
          <w:sz w:val="28"/>
          <w:szCs w:val="28"/>
        </w:rPr>
        <w:t>创新为引领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以服务</w:t>
      </w:r>
      <w:r>
        <w:rPr>
          <w:rFonts w:hint="eastAsia" w:ascii="仿宋" w:hAnsi="仿宋" w:eastAsia="仿宋" w:cs="Times New Roman"/>
          <w:sz w:val="28"/>
          <w:szCs w:val="28"/>
        </w:rPr>
        <w:t>学院</w:t>
      </w:r>
      <w:r>
        <w:rPr>
          <w:rFonts w:ascii="仿宋" w:hAnsi="仿宋" w:eastAsia="仿宋" w:cs="Times New Roman"/>
          <w:sz w:val="28"/>
          <w:szCs w:val="28"/>
        </w:rPr>
        <w:t>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目的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遵循</w:t>
      </w:r>
      <w:r>
        <w:rPr>
          <w:rFonts w:ascii="仿宋" w:hAnsi="仿宋" w:eastAsia="仿宋" w:cs="Times New Roman"/>
          <w:sz w:val="28"/>
          <w:szCs w:val="28"/>
        </w:rPr>
        <w:t>有利于学科建设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有利于人才培养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有利于科学研究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ascii="仿宋" w:hAnsi="仿宋" w:eastAsia="仿宋" w:cs="Times New Roman"/>
          <w:sz w:val="28"/>
          <w:szCs w:val="28"/>
        </w:rPr>
        <w:t>原则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提</w:t>
      </w:r>
      <w:r>
        <w:rPr>
          <w:rFonts w:hint="eastAsia" w:ascii="仿宋" w:hAnsi="仿宋" w:eastAsia="仿宋" w:cs="Times New Roman"/>
          <w:sz w:val="28"/>
          <w:szCs w:val="28"/>
        </w:rPr>
        <w:t>高中青年科研</w:t>
      </w:r>
      <w:r>
        <w:rPr>
          <w:rFonts w:ascii="仿宋" w:hAnsi="仿宋" w:eastAsia="仿宋" w:cs="Times New Roman"/>
          <w:sz w:val="28"/>
          <w:szCs w:val="28"/>
        </w:rPr>
        <w:t>骨干的科研能力和水平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出高质量研究成果</w:t>
      </w:r>
      <w:r>
        <w:rPr>
          <w:rFonts w:hint="eastAsia" w:ascii="仿宋" w:hAnsi="仿宋" w:eastAsia="仿宋" w:cs="Times New Roman"/>
          <w:sz w:val="28"/>
          <w:szCs w:val="28"/>
        </w:rPr>
        <w:t>，提升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Times New Roman"/>
          <w:sz w:val="28"/>
          <w:szCs w:val="28"/>
        </w:rPr>
        <w:t>核心竞争力。</w:t>
      </w:r>
    </w:p>
    <w:p>
      <w:pPr>
        <w:spacing w:line="360" w:lineRule="auto"/>
        <w:ind w:firstLine="562" w:firstLineChars="2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二、培养对象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与条件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培养对象为</w:t>
      </w:r>
      <w:r>
        <w:rPr>
          <w:rFonts w:hint="eastAsia" w:ascii="仿宋" w:hAnsi="仿宋" w:eastAsia="仿宋" w:cs="Times New Roman"/>
          <w:sz w:val="28"/>
          <w:szCs w:val="28"/>
        </w:rPr>
        <w:t>年龄不超过45周岁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本校在编教职工，具有中级及以上职称或硕士及以上学位。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应具备以下条件：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1.政治思想素质好，有较强的事业心和良好的学术道德，治学严谨，诚实守信。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.基础理论和专业知识扎实，有明确的研究方向，在科研方面有一定潜能。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.近五年，主持市厅级及以上项目1项，且公开发表论文2篇；或获市厅级及以上科研成果奖1项。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三、申报与审批程序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1.凡符合培养对象条件、愿意参加培养的教职工均可申报。分院教职工向所在分院提出申请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行政部门人员经所在部门同意后向科研处提出申请。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2.申请者须填写《浙江育英职业技术学院学院科研骨干培养对象申请表》，并提供相关佐证材料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交</w:t>
      </w:r>
      <w:r>
        <w:rPr>
          <w:rFonts w:hint="eastAsia" w:ascii="仿宋" w:hAnsi="仿宋" w:eastAsia="仿宋" w:cs="Times New Roman"/>
          <w:sz w:val="28"/>
          <w:szCs w:val="28"/>
        </w:rPr>
        <w:t>所在分院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或科研处</w:t>
      </w:r>
      <w:r>
        <w:rPr>
          <w:rFonts w:hint="eastAsia" w:ascii="仿宋" w:hAnsi="仿宋" w:eastAsia="仿宋" w:cs="Times New Roman"/>
          <w:sz w:val="28"/>
          <w:szCs w:val="28"/>
        </w:rPr>
        <w:t>进行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资格</w:t>
      </w:r>
      <w:r>
        <w:rPr>
          <w:rFonts w:hint="eastAsia" w:ascii="仿宋" w:hAnsi="仿宋" w:eastAsia="仿宋" w:cs="Times New Roman"/>
          <w:sz w:val="28"/>
          <w:szCs w:val="28"/>
        </w:rPr>
        <w:t>审查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3.科研处汇总所有申报材料，组织专家评审，确定培养对象候选人名单，报学院讨论决定。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4.培养对象与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Times New Roman"/>
          <w:sz w:val="28"/>
          <w:szCs w:val="28"/>
        </w:rPr>
        <w:t>签订《浙江育英职业技术学院科研骨干培养计划任务书》。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四、培养名额与经费资助标准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1.本计划培养中青年科研骨干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0名左右，分二批实施，每批培养期为3年。2021-2022学年度开始，2023-2024学年度遴选结束。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2.学院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设立</w:t>
      </w:r>
      <w:r>
        <w:rPr>
          <w:rFonts w:hint="eastAsia" w:ascii="仿宋" w:hAnsi="仿宋" w:eastAsia="仿宋" w:cs="Times New Roman"/>
          <w:sz w:val="28"/>
          <w:szCs w:val="28"/>
        </w:rPr>
        <w:t>专项资金，每人资助3万元。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五、培养形式与内容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1.培养形式：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共性的</w:t>
      </w:r>
      <w:r>
        <w:rPr>
          <w:rFonts w:hint="eastAsia" w:ascii="仿宋" w:hAnsi="仿宋" w:eastAsia="仿宋" w:cs="Times New Roman"/>
          <w:sz w:val="28"/>
          <w:szCs w:val="28"/>
        </w:rPr>
        <w:t>集中培训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Times New Roman"/>
          <w:sz w:val="28"/>
          <w:szCs w:val="28"/>
        </w:rPr>
        <w:t>个性化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专业化培训相结合。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共性的</w:t>
      </w:r>
      <w:r>
        <w:rPr>
          <w:rFonts w:hint="eastAsia" w:ascii="仿宋" w:hAnsi="仿宋" w:eastAsia="仿宋" w:cs="Times New Roman"/>
          <w:sz w:val="28"/>
          <w:szCs w:val="28"/>
        </w:rPr>
        <w:t>集中培训由科研处负责；个性化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专业化培训由培养对象自行安排，可采用自学、短期培训、脱产进修、参加各种学术会议、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做</w:t>
      </w:r>
      <w:r>
        <w:rPr>
          <w:rFonts w:hint="eastAsia" w:ascii="仿宋" w:hAnsi="仿宋" w:eastAsia="仿宋" w:cs="Times New Roman"/>
          <w:sz w:val="28"/>
          <w:szCs w:val="28"/>
        </w:rPr>
        <w:t>访问学者和入企挂职锻炼等形式。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2.培养内容：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共性的</w:t>
      </w:r>
      <w:r>
        <w:rPr>
          <w:rFonts w:hint="eastAsia" w:ascii="仿宋" w:hAnsi="仿宋" w:eastAsia="仿宋" w:cs="Times New Roman"/>
          <w:sz w:val="28"/>
          <w:szCs w:val="28"/>
        </w:rPr>
        <w:t>集中培训主要内容为科研政策的解读、学术规范和科研诚信教育、科研项目及成果申报辅导、学术报告及学术经验交流等。个性化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专业化培训主要内容是根据各人专业特点、所在学科及研究方向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Times New Roman"/>
          <w:sz w:val="28"/>
          <w:szCs w:val="28"/>
        </w:rPr>
        <w:t>学用一致原则，自主选择培训内容。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六、培养经费管理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1.培养对象资助经费建立专卡，分3次拨款，专款专用。第一年拨付培养资助经费的40%；年度考核合格者，第二年拨付30%；剩余的30%在培养期结束考核合格后拨付。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2.培养资助经费的使用范围、审批程序及权限参照《浙江育英职业技术学院科研管理办法》执行。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七、培养考核与管理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1.实行分级管理。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学院科研处</w:t>
      </w:r>
      <w:r>
        <w:rPr>
          <w:rFonts w:hint="eastAsia" w:ascii="仿宋" w:hAnsi="仿宋" w:eastAsia="仿宋" w:cs="Times New Roman"/>
          <w:sz w:val="28"/>
          <w:szCs w:val="28"/>
        </w:rPr>
        <w:t>负责培养计划的组织实施、集中培训安排、培养期年度考核、成果认定及验收工作。各相关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分院</w:t>
      </w:r>
      <w:r>
        <w:rPr>
          <w:rFonts w:hint="eastAsia" w:ascii="仿宋" w:hAnsi="仿宋" w:eastAsia="仿宋" w:cs="Times New Roman"/>
          <w:sz w:val="28"/>
          <w:szCs w:val="28"/>
        </w:rPr>
        <w:t>、部门协助培养对象制订培养计划、检查培养进度、组织培养成果初审等。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2.按培养计划实施。学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Times New Roman"/>
          <w:sz w:val="28"/>
          <w:szCs w:val="28"/>
        </w:rPr>
        <w:t>每年按培养计划任务书考核一次，年度考核不合格者，限期进行整改，并停拨下一年度培养经费。若因特殊情况未能按时完成培养计划者，由本人提出延长培养期申请，经所在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分院</w:t>
      </w:r>
      <w:r>
        <w:rPr>
          <w:rFonts w:hint="eastAsia" w:ascii="仿宋" w:hAnsi="仿宋" w:eastAsia="仿宋" w:cs="Times New Roman"/>
          <w:sz w:val="28"/>
          <w:szCs w:val="28"/>
        </w:rPr>
        <w:t>、部门签署意见后报科研处批准，培养期最多延长一年。对延期一年后仍未完成培养任务者以及调离学校者，学校视情况作出终止培养和追回培养经费的处理。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3.培养对象有下列情形之一者，学校将自动终止培养。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连续2次年度培养考核不合格者；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学术不端，发现造假、抄袭、剽窃他人科研成果者；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有严重违纪违法行为，受学校记过及以上处分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或二级及以上教学事故</w:t>
      </w:r>
      <w:r>
        <w:rPr>
          <w:rFonts w:hint="eastAsia" w:ascii="仿宋" w:hAnsi="仿宋" w:eastAsia="仿宋" w:cs="Times New Roman"/>
          <w:sz w:val="28"/>
          <w:szCs w:val="28"/>
        </w:rPr>
        <w:t>者；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）无法</w:t>
      </w:r>
      <w:r>
        <w:rPr>
          <w:rFonts w:hint="eastAsia" w:ascii="仿宋" w:hAnsi="仿宋" w:eastAsia="仿宋" w:cs="Times New Roman"/>
          <w:sz w:val="28"/>
          <w:szCs w:val="28"/>
        </w:rPr>
        <w:t>正常完成任务者。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4.培养期满考核标准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培养对象在培养期结束考核时必须符合相关业绩（所获业绩均为在培养期内）要求，具体如下：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（1）获如下业绩其中1项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①主持获省部级及以上科研项目1项；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②以第一作者公开发表二级（核心期刊）及以上论文2篇；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③作为主要负责人（排名前3）获省部级及以上科研成果奖1项；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④出版2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万字以上学术著作1部；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⑤主持获授权职务发明专利2项；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⑥研究成果获省部级领导采纳批示1项（排名前2）；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⑦培养期内，累计横向项目财务到账经费人文社科类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0万元、自然科学类1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0万元；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）获如下业绩其中2项及以上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①主持获市厅级科研项目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项；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②作为主要负责人（排名前2）获市厅级科研成果奖2项；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③以第一作者公开发表论文5篇；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④出版2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万字以上编著1部（需符合学院出版要求）；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⑤主持获授权实用新型（含外观设计）专利3项，或作为主要发明人（排名前2）获授权职务发明专利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项；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⑥研究成果获市厅级领导批示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项（排名前2）；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⑦培养期内，累计横向项目财务到账经费人文社科类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0万元、自然科学类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0万元；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⑧参加企业（行业）技术改造和研发等项目，成绩突出，给企业（行业）带来明显的社会效益和经济效益（企业、行业提供佐证材料，学院科研处组织专家认定）。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7E7"/>
    <w:rsid w:val="00045329"/>
    <w:rsid w:val="001E225B"/>
    <w:rsid w:val="002F0F0F"/>
    <w:rsid w:val="00336AB7"/>
    <w:rsid w:val="004678F5"/>
    <w:rsid w:val="00502F71"/>
    <w:rsid w:val="00582F6E"/>
    <w:rsid w:val="005E5815"/>
    <w:rsid w:val="006117F7"/>
    <w:rsid w:val="0061702C"/>
    <w:rsid w:val="00644E96"/>
    <w:rsid w:val="006544D3"/>
    <w:rsid w:val="007C57E7"/>
    <w:rsid w:val="008B704F"/>
    <w:rsid w:val="00987362"/>
    <w:rsid w:val="00A562FB"/>
    <w:rsid w:val="00B96579"/>
    <w:rsid w:val="00BC6936"/>
    <w:rsid w:val="00BD1E94"/>
    <w:rsid w:val="00BD2DE1"/>
    <w:rsid w:val="00C61419"/>
    <w:rsid w:val="00CA1B1D"/>
    <w:rsid w:val="00CB1160"/>
    <w:rsid w:val="00D7737E"/>
    <w:rsid w:val="00DD7F86"/>
    <w:rsid w:val="00E6484B"/>
    <w:rsid w:val="00E85778"/>
    <w:rsid w:val="00EB1027"/>
    <w:rsid w:val="00EC37E7"/>
    <w:rsid w:val="00F6152D"/>
    <w:rsid w:val="00FA069E"/>
    <w:rsid w:val="153366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307</Words>
  <Characters>1753</Characters>
  <Lines>14</Lines>
  <Paragraphs>4</Paragraphs>
  <TotalTime>0</TotalTime>
  <ScaleCrop>false</ScaleCrop>
  <LinksUpToDate>false</LinksUpToDate>
  <CharactersWithSpaces>2056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2020-11-09T02:49:00Z</dcterms:created>
  <dc:creator>周鹏</dc:creator>
  <cp:lastModifiedBy>Administrator</cp:lastModifiedBy>
  <dcterms:modified xsi:type="dcterms:W3CDTF">2020-12-21T03:27:05Z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